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[CAN:Name.Debtor#@&amp;]</w:t>
      </w:r>
    </w:p>
    <w:p>
      <w:pPr>
        <w:pStyle w:val="NormalIndent"/>
        <w:rPr>
          <w:lang w:val="en-IE"/>
        </w:rPr>
      </w:pPr>
      <w:r>
        <w:rPr>
          <w:lang w:val="en-IE"/>
        </w:rPr>
        <w:t>The District Court [CAN:DistrictCourtArea.DisCourts#01]</w:t>
      </w:r>
    </w:p>
    <w:p>
      <w:pPr>
        <w:pStyle w:val="NormalIndent"/>
      </w:pPr>
      <w:r>
        <w:t>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Sirs,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now enclose Notice of Trial by way of service</w:t>
      </w:r>
      <w:r>
        <w:t>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0D8E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C669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104A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9EF4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4CD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2A2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B08F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C2C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C6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AA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58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EA211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00B4F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F60271-D85F-4BC5-8FBC-44799E8B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7</cp:revision>
  <cp:lastPrinted>2013-08-06T09:10:00Z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155011</vt:lpwstr>
  </property>
  <property fmtid="{D5CDD505-2E9C-101B-9397-08002B2CF9AE}" pid="3" name="KeyhouseMatterReference">
    <vt:lpwstr>ARM001/0001</vt:lpwstr>
  </property>
</Properties>
</file>